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6CB57" w14:textId="77777777" w:rsidR="00932177" w:rsidRPr="00A80968" w:rsidRDefault="00932177" w:rsidP="00932177">
      <w:pPr>
        <w:jc w:val="center"/>
        <w:rPr>
          <w:rFonts w:eastAsia="Garamond"/>
          <w:b/>
        </w:rPr>
      </w:pPr>
      <w:commentRangeStart w:id="0"/>
      <w:r w:rsidRPr="00A80968">
        <w:rPr>
          <w:rFonts w:eastAsia="Garamond"/>
          <w:b/>
        </w:rPr>
        <w:t xml:space="preserve">Table 19.2: Estimated Populations of Defectors and their Children in China’s Three </w:t>
      </w:r>
      <w:proofErr w:type="spellStart"/>
      <w:r w:rsidRPr="00A80968">
        <w:rPr>
          <w:rFonts w:eastAsia="Garamond"/>
          <w:b/>
        </w:rPr>
        <w:t>Northeastern</w:t>
      </w:r>
      <w:proofErr w:type="spellEnd"/>
      <w:r w:rsidRPr="00A80968">
        <w:rPr>
          <w:rFonts w:eastAsia="Garamond"/>
          <w:b/>
        </w:rPr>
        <w:t xml:space="preserve"> Provinces</w:t>
      </w:r>
    </w:p>
    <w:tbl>
      <w:tblPr>
        <w:tblW w:w="9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2"/>
        <w:gridCol w:w="4163"/>
        <w:gridCol w:w="1351"/>
        <w:gridCol w:w="2477"/>
      </w:tblGrid>
      <w:tr w:rsidR="00932177" w:rsidRPr="00A80968" w14:paraId="39EE19BC" w14:textId="77777777" w:rsidTr="00B44DB4">
        <w:trPr>
          <w:trHeight w:val="280"/>
        </w:trPr>
        <w:tc>
          <w:tcPr>
            <w:tcW w:w="104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233AC68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Year of Survey</w:t>
            </w:r>
          </w:p>
        </w:tc>
        <w:tc>
          <w:tcPr>
            <w:tcW w:w="416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6A0FE3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Organization Conducting Survey</w:t>
            </w:r>
          </w:p>
        </w:tc>
        <w:tc>
          <w:tcPr>
            <w:tcW w:w="135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F045EA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Target Population</w:t>
            </w:r>
          </w:p>
        </w:tc>
        <w:tc>
          <w:tcPr>
            <w:tcW w:w="24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B702AA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Estimated North Korean Defector Population (number of individuals)</w:t>
            </w:r>
          </w:p>
        </w:tc>
      </w:tr>
      <w:tr w:rsidR="00932177" w:rsidRPr="00A80968" w14:paraId="26B88841" w14:textId="77777777" w:rsidTr="00B44DB4">
        <w:trPr>
          <w:trHeight w:val="280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5E234D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1999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7D3149" w14:textId="77777777" w:rsidR="00932177" w:rsidRPr="00A80968" w:rsidRDefault="00932177" w:rsidP="00B44DB4">
            <w:pPr>
              <w:jc w:val="center"/>
              <w:rPr>
                <w:rFonts w:eastAsia="Garamond"/>
                <w:vertAlign w:val="subscript"/>
              </w:rPr>
            </w:pPr>
            <w:r w:rsidRPr="00A80968">
              <w:rPr>
                <w:rFonts w:eastAsia="Garamond"/>
              </w:rPr>
              <w:t>Good Friends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D8C882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Adult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912155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~ 200,000</w:t>
            </w:r>
          </w:p>
        </w:tc>
      </w:tr>
      <w:tr w:rsidR="00932177" w:rsidRPr="00A80968" w14:paraId="1CA9D9AA" w14:textId="77777777" w:rsidTr="00B44DB4">
        <w:trPr>
          <w:trHeight w:val="280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4FFF4E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2003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021712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NGO Refugee International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3BEF2C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Adult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533876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~ 100,000</w:t>
            </w:r>
          </w:p>
        </w:tc>
      </w:tr>
      <w:tr w:rsidR="00932177" w:rsidRPr="00A80968" w14:paraId="4225171B" w14:textId="77777777" w:rsidTr="00B44DB4">
        <w:trPr>
          <w:trHeight w:val="300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B101D95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2006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4BBA43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International Crisis Group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359414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Adult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7E80EE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~ 100,000</w:t>
            </w:r>
          </w:p>
        </w:tc>
      </w:tr>
      <w:tr w:rsidR="00932177" w:rsidRPr="00A80968" w14:paraId="3E65F5C1" w14:textId="77777777" w:rsidTr="00B44DB4">
        <w:trPr>
          <w:trHeight w:val="30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F44F30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2009</w:t>
            </w:r>
          </w:p>
        </w:tc>
        <w:tc>
          <w:tcPr>
            <w:tcW w:w="4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E8E98E3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Johns Hopkins University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8C1BFF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Adult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1AF640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~ 11,610</w:t>
            </w:r>
          </w:p>
        </w:tc>
      </w:tr>
      <w:tr w:rsidR="00932177" w:rsidRPr="00A80968" w14:paraId="73134463" w14:textId="77777777" w:rsidTr="00B44DB4">
        <w:trPr>
          <w:trHeight w:val="220"/>
        </w:trPr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91B45E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Garamond"/>
              </w:rPr>
            </w:pPr>
          </w:p>
        </w:tc>
        <w:tc>
          <w:tcPr>
            <w:tcW w:w="4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C17063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Garamond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015191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Children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A30C14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~ 13,079</w:t>
            </w:r>
          </w:p>
        </w:tc>
      </w:tr>
      <w:tr w:rsidR="00932177" w:rsidRPr="00A80968" w14:paraId="2FE86B7D" w14:textId="77777777" w:rsidTr="00B44DB4">
        <w:trPr>
          <w:trHeight w:val="300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33842C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2012</w:t>
            </w:r>
          </w:p>
        </w:tc>
        <w:tc>
          <w:tcPr>
            <w:tcW w:w="4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626FB6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Korean Institute for National Unification and Johns Hopkins School of Public Health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649041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Adult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FEE01C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~ 8,533</w:t>
            </w:r>
          </w:p>
        </w:tc>
      </w:tr>
      <w:tr w:rsidR="00932177" w:rsidRPr="00A80968" w14:paraId="1C8ACBD0" w14:textId="77777777" w:rsidTr="00B44DB4">
        <w:trPr>
          <w:trHeight w:val="20"/>
        </w:trPr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7061AC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Garamond"/>
              </w:rPr>
            </w:pPr>
          </w:p>
        </w:tc>
        <w:tc>
          <w:tcPr>
            <w:tcW w:w="4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5FACFF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Garamond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7C7E3D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Children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C03E591" w14:textId="77777777" w:rsidR="00932177" w:rsidRPr="00A80968" w:rsidRDefault="00932177" w:rsidP="00B44DB4">
            <w:pPr>
              <w:jc w:val="center"/>
              <w:rPr>
                <w:rFonts w:eastAsia="Garamond"/>
              </w:rPr>
            </w:pPr>
            <w:r w:rsidRPr="00A80968">
              <w:rPr>
                <w:rFonts w:eastAsia="Garamond"/>
              </w:rPr>
              <w:t>~ 22,321</w:t>
            </w:r>
          </w:p>
        </w:tc>
      </w:tr>
      <w:commentRangeEnd w:id="0"/>
    </w:tbl>
    <w:p w14:paraId="13B99FC4" w14:textId="77777777" w:rsidR="003D00C7" w:rsidRDefault="003D00C7"/>
    <w:p w14:paraId="5332D454" w14:textId="77777777" w:rsidR="00932177" w:rsidRDefault="00932177"/>
    <w:p w14:paraId="60088836" w14:textId="77777777" w:rsidR="00932177" w:rsidRDefault="00932177"/>
    <w:p w14:paraId="425E5676" w14:textId="77777777" w:rsidR="00932177" w:rsidRPr="00A80968" w:rsidRDefault="00932177" w:rsidP="00932177">
      <w:pPr>
        <w:rPr>
          <w:rFonts w:eastAsia="Garamond"/>
          <w:b/>
        </w:rPr>
      </w:pPr>
      <w:r w:rsidRPr="00A80968">
        <w:rPr>
          <w:rFonts w:eastAsia="Garamond"/>
          <w:b/>
        </w:rPr>
        <w:t>Table 19.1: Changes in Terminology Referring to Defectors</w:t>
      </w:r>
      <w:r w:rsidRPr="00A80968">
        <w:rPr>
          <w:rFonts w:eastAsia="Garamond"/>
          <w:b/>
          <w:vertAlign w:val="superscript"/>
        </w:rPr>
        <w:footnoteReference w:id="1"/>
      </w:r>
    </w:p>
    <w:p w14:paraId="3827B459" w14:textId="77777777" w:rsidR="00932177" w:rsidRPr="00A80968" w:rsidRDefault="00932177" w:rsidP="00932177">
      <w:pPr>
        <w:rPr>
          <w:rFonts w:eastAsia="Garamond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2268"/>
        <w:gridCol w:w="4783"/>
      </w:tblGrid>
      <w:tr w:rsidR="00932177" w:rsidRPr="00A80968" w14:paraId="4AF23E10" w14:textId="77777777" w:rsidTr="00B44DB4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9F1C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Time Period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ADAC7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commentRangeStart w:id="1"/>
            <w:r w:rsidRPr="00A80968">
              <w:rPr>
                <w:rFonts w:eastAsia="Garamond"/>
                <w:sz w:val="22"/>
                <w:szCs w:val="22"/>
              </w:rPr>
              <w:t>Term in Korean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4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7C376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English Translation</w:t>
            </w:r>
          </w:p>
        </w:tc>
      </w:tr>
      <w:tr w:rsidR="00932177" w:rsidRPr="00A80968" w14:paraId="7DBC87C9" w14:textId="77777777" w:rsidTr="00B44DB4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3CE7E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Pre-Korean War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59A15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wollamja</w:t>
            </w:r>
            <w:proofErr w:type="spellEnd"/>
          </w:p>
        </w:tc>
        <w:tc>
          <w:tcPr>
            <w:tcW w:w="4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4D718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Person who came south</w:t>
            </w:r>
          </w:p>
        </w:tc>
      </w:tr>
      <w:tr w:rsidR="00932177" w:rsidRPr="00A80968" w14:paraId="757E0BEC" w14:textId="77777777" w:rsidTr="00B44DB4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22294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Post-Korean War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56BA6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wollam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 </w:t>
            </w: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gwisunyongsa</w:t>
            </w:r>
            <w:proofErr w:type="spellEnd"/>
          </w:p>
        </w:tc>
        <w:tc>
          <w:tcPr>
            <w:tcW w:w="4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F77A6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Brave warrior who came south</w:t>
            </w:r>
          </w:p>
        </w:tc>
      </w:tr>
      <w:tr w:rsidR="00932177" w:rsidRPr="00A80968" w14:paraId="385713A7" w14:textId="77777777" w:rsidTr="00B44DB4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4269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1960s-1980s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A2B8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gwisunyongsa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>,</w:t>
            </w:r>
          </w:p>
          <w:p w14:paraId="01EB27F7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gwisunja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, </w:t>
            </w:r>
          </w:p>
          <w:p w14:paraId="3568EE45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wollamja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, </w:t>
            </w:r>
          </w:p>
          <w:p w14:paraId="1589A81C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talbukja</w:t>
            </w:r>
            <w:proofErr w:type="spellEnd"/>
          </w:p>
          <w:p w14:paraId="5D02F8E3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</w:p>
        </w:tc>
        <w:tc>
          <w:tcPr>
            <w:tcW w:w="4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2F794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 xml:space="preserve">Brave warrior who returned home </w:t>
            </w:r>
          </w:p>
          <w:p w14:paraId="30B0BDCF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 xml:space="preserve">Person who returned home </w:t>
            </w:r>
          </w:p>
          <w:p w14:paraId="076E8E43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 xml:space="preserve">Person who came south </w:t>
            </w:r>
          </w:p>
          <w:p w14:paraId="37544E92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Person who escaped from the north</w:t>
            </w:r>
          </w:p>
        </w:tc>
      </w:tr>
      <w:tr w:rsidR="00932177" w:rsidRPr="00A80968" w14:paraId="3A820132" w14:textId="77777777" w:rsidTr="00B44DB4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9B49F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1990s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3387D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gwisun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 </w:t>
            </w: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bukandongpo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, </w:t>
            </w:r>
          </w:p>
          <w:p w14:paraId="648AEFA5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talbuk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 </w:t>
            </w: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gwisunja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, </w:t>
            </w:r>
          </w:p>
          <w:p w14:paraId="41187DC9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jayu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 </w:t>
            </w: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bukanin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, </w:t>
            </w:r>
          </w:p>
          <w:p w14:paraId="639E50A0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gwisun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 </w:t>
            </w: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dongpo</w:t>
            </w:r>
            <w:proofErr w:type="spellEnd"/>
          </w:p>
        </w:tc>
        <w:tc>
          <w:tcPr>
            <w:tcW w:w="4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7E457" w14:textId="77777777" w:rsidR="00932177" w:rsidRPr="00A80968" w:rsidRDefault="00932177" w:rsidP="00B44DB4">
            <w:pP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 xml:space="preserve">North Korean brethren who returned home, </w:t>
            </w:r>
          </w:p>
          <w:p w14:paraId="374FABC2" w14:textId="77777777" w:rsidR="00932177" w:rsidRPr="00A80968" w:rsidRDefault="00932177" w:rsidP="00B44DB4">
            <w:pP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Person who escaped from the north and returned home</w:t>
            </w:r>
          </w:p>
          <w:p w14:paraId="067CF644" w14:textId="77777777" w:rsidR="00932177" w:rsidRPr="00A80968" w:rsidRDefault="00932177" w:rsidP="00B44DB4">
            <w:pP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 xml:space="preserve">Free North Korean, </w:t>
            </w:r>
          </w:p>
          <w:p w14:paraId="03003871" w14:textId="77777777" w:rsidR="00932177" w:rsidRPr="00A80968" w:rsidRDefault="00932177" w:rsidP="00B44DB4">
            <w:pP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Brethren who returned home</w:t>
            </w:r>
          </w:p>
        </w:tc>
      </w:tr>
      <w:tr w:rsidR="00932177" w:rsidRPr="00A80968" w14:paraId="78FA042F" w14:textId="77777777" w:rsidTr="00B44DB4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B335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1999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BD325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bukan</w:t>
            </w:r>
            <w:proofErr w:type="spellEnd"/>
            <w:r w:rsidRPr="00A80968">
              <w:rPr>
                <w:rFonts w:eastAsia="Garamond"/>
                <w:i/>
                <w:sz w:val="22"/>
                <w:szCs w:val="22"/>
              </w:rPr>
              <w:t xml:space="preserve"> </w:t>
            </w: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italjumin</w:t>
            </w:r>
            <w:proofErr w:type="spellEnd"/>
          </w:p>
        </w:tc>
        <w:tc>
          <w:tcPr>
            <w:tcW w:w="4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FF296" w14:textId="77777777" w:rsidR="00932177" w:rsidRPr="00A80968" w:rsidRDefault="00932177" w:rsidP="00B44DB4">
            <w:pP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 xml:space="preserve">North Korean residents who left </w:t>
            </w:r>
          </w:p>
        </w:tc>
      </w:tr>
      <w:tr w:rsidR="00932177" w:rsidRPr="00A80968" w14:paraId="3FA44210" w14:textId="77777777" w:rsidTr="00B44DB4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F78E9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2004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E4EFE" w14:textId="77777777" w:rsidR="00932177" w:rsidRPr="00A80968" w:rsidRDefault="00932177" w:rsidP="00B44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/>
                <w:i/>
                <w:sz w:val="22"/>
                <w:szCs w:val="22"/>
              </w:rPr>
            </w:pPr>
            <w:proofErr w:type="spellStart"/>
            <w:r w:rsidRPr="00A80968">
              <w:rPr>
                <w:rFonts w:eastAsia="Garamond"/>
                <w:i/>
                <w:sz w:val="22"/>
                <w:szCs w:val="22"/>
              </w:rPr>
              <w:t>saetomin</w:t>
            </w:r>
            <w:proofErr w:type="spellEnd"/>
          </w:p>
        </w:tc>
        <w:tc>
          <w:tcPr>
            <w:tcW w:w="4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6A00" w14:textId="77777777" w:rsidR="00932177" w:rsidRPr="00A80968" w:rsidRDefault="00932177" w:rsidP="00B44DB4">
            <w:pPr>
              <w:rPr>
                <w:rFonts w:eastAsia="Garamond"/>
                <w:sz w:val="22"/>
                <w:szCs w:val="22"/>
              </w:rPr>
            </w:pPr>
            <w:r w:rsidRPr="00A80968">
              <w:rPr>
                <w:rFonts w:eastAsia="Garamond"/>
                <w:sz w:val="22"/>
                <w:szCs w:val="22"/>
              </w:rPr>
              <w:t>Person who has moved to a new territory</w:t>
            </w:r>
          </w:p>
        </w:tc>
      </w:tr>
    </w:tbl>
    <w:p w14:paraId="1B874545" w14:textId="77777777" w:rsidR="00932177" w:rsidRPr="00A80968" w:rsidRDefault="00932177" w:rsidP="00932177">
      <w:pPr>
        <w:rPr>
          <w:rFonts w:eastAsia="Garamond"/>
          <w:b/>
          <w:color w:val="FF0000"/>
        </w:rPr>
      </w:pPr>
    </w:p>
    <w:p w14:paraId="2F79194C" w14:textId="77777777" w:rsidR="00932177" w:rsidRDefault="00932177">
      <w:bookmarkStart w:id="2" w:name="_GoBack"/>
      <w:bookmarkEnd w:id="2"/>
    </w:p>
    <w:sectPr w:rsidR="00932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teven Denney" w:date="2019-08-19T16:50:00Z" w:initials="SD">
    <w:p w14:paraId="5E35529F" w14:textId="77777777" w:rsidR="00932177" w:rsidRDefault="00932177" w:rsidP="00932177">
      <w:pPr>
        <w:pStyle w:val="CommentText"/>
      </w:pPr>
      <w:r>
        <w:rPr>
          <w:rStyle w:val="CommentReference"/>
        </w:rPr>
        <w:annotationRef/>
      </w:r>
      <w:r>
        <w:t>Add Korean?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3552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35529F" w16cid:durableId="210551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168CB" w14:textId="77777777" w:rsidR="00965615" w:rsidRDefault="00965615" w:rsidP="00932177">
      <w:r>
        <w:separator/>
      </w:r>
    </w:p>
  </w:endnote>
  <w:endnote w:type="continuationSeparator" w:id="0">
    <w:p w14:paraId="267A7F7A" w14:textId="77777777" w:rsidR="00965615" w:rsidRDefault="00965615" w:rsidP="0093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F9269" w14:textId="77777777" w:rsidR="00965615" w:rsidRDefault="00965615" w:rsidP="00932177">
      <w:r>
        <w:separator/>
      </w:r>
    </w:p>
  </w:footnote>
  <w:footnote w:type="continuationSeparator" w:id="0">
    <w:p w14:paraId="4F318CFC" w14:textId="77777777" w:rsidR="00965615" w:rsidRDefault="00965615" w:rsidP="00932177">
      <w:r>
        <w:continuationSeparator/>
      </w:r>
    </w:p>
  </w:footnote>
  <w:footnote w:id="1">
    <w:p w14:paraId="018EC685" w14:textId="77777777" w:rsidR="00932177" w:rsidRPr="004C01C0" w:rsidRDefault="00932177" w:rsidP="00932177">
      <w:pPr>
        <w:ind w:firstLine="720"/>
        <w:rPr>
          <w:sz w:val="20"/>
          <w:szCs w:val="20"/>
        </w:rPr>
      </w:pPr>
      <w:r w:rsidRPr="004C01C0">
        <w:rPr>
          <w:sz w:val="20"/>
          <w:szCs w:val="20"/>
          <w:vertAlign w:val="superscript"/>
        </w:rPr>
        <w:footnoteRef/>
      </w:r>
      <w:r w:rsidRPr="004C01C0">
        <w:rPr>
          <w:sz w:val="20"/>
          <w:szCs w:val="20"/>
        </w:rPr>
        <w:t xml:space="preserve"> Strong opposition from defectors who argued that </w:t>
      </w:r>
      <w:r>
        <w:rPr>
          <w:sz w:val="20"/>
          <w:szCs w:val="20"/>
        </w:rPr>
        <w:t>‘</w:t>
      </w:r>
      <w:proofErr w:type="spellStart"/>
      <w:r w:rsidRPr="004C01C0">
        <w:rPr>
          <w:sz w:val="20"/>
          <w:szCs w:val="20"/>
        </w:rPr>
        <w:t>saetomin</w:t>
      </w:r>
      <w:proofErr w:type="spellEnd"/>
      <w:r>
        <w:rPr>
          <w:sz w:val="20"/>
          <w:szCs w:val="20"/>
        </w:rPr>
        <w:t>’</w:t>
      </w:r>
      <w:r w:rsidRPr="004C01C0">
        <w:rPr>
          <w:sz w:val="20"/>
          <w:szCs w:val="20"/>
        </w:rPr>
        <w:t xml:space="preserve"> was denouncing them as those who had come to South Korea simply to survive, led the Ministry of Unification to officially drop the term in 2008. However, the terms </w:t>
      </w:r>
      <w:r>
        <w:rPr>
          <w:sz w:val="20"/>
          <w:szCs w:val="20"/>
        </w:rPr>
        <w:t>‘</w:t>
      </w:r>
      <w:r w:rsidRPr="004C01C0">
        <w:rPr>
          <w:sz w:val="20"/>
          <w:szCs w:val="20"/>
        </w:rPr>
        <w:t>North Korean refugee</w:t>
      </w:r>
      <w:r>
        <w:rPr>
          <w:sz w:val="20"/>
          <w:szCs w:val="20"/>
        </w:rPr>
        <w:t>’</w:t>
      </w:r>
      <w:r w:rsidRPr="004C01C0">
        <w:rPr>
          <w:sz w:val="20"/>
          <w:szCs w:val="20"/>
        </w:rPr>
        <w:t xml:space="preserve"> and </w:t>
      </w:r>
      <w:r>
        <w:rPr>
          <w:sz w:val="20"/>
          <w:szCs w:val="20"/>
        </w:rPr>
        <w:t>‘</w:t>
      </w:r>
      <w:r w:rsidRPr="004C01C0">
        <w:rPr>
          <w:sz w:val="20"/>
          <w:szCs w:val="20"/>
        </w:rPr>
        <w:t>defector</w:t>
      </w:r>
      <w:r>
        <w:rPr>
          <w:sz w:val="20"/>
          <w:szCs w:val="20"/>
        </w:rPr>
        <w:t>’</w:t>
      </w:r>
      <w:r w:rsidRPr="004C01C0">
        <w:rPr>
          <w:sz w:val="20"/>
          <w:szCs w:val="20"/>
        </w:rPr>
        <w:t xml:space="preserve"> are currently in use in South Korea. There is now, however, a great deal of research arguing that the term </w:t>
      </w:r>
      <w:r>
        <w:rPr>
          <w:sz w:val="20"/>
          <w:szCs w:val="20"/>
        </w:rPr>
        <w:t>‘</w:t>
      </w:r>
      <w:r w:rsidRPr="004C01C0">
        <w:rPr>
          <w:sz w:val="20"/>
          <w:szCs w:val="20"/>
        </w:rPr>
        <w:t>North Korean refugee</w:t>
      </w:r>
      <w:r>
        <w:rPr>
          <w:sz w:val="20"/>
          <w:szCs w:val="20"/>
        </w:rPr>
        <w:t>’</w:t>
      </w:r>
      <w:r w:rsidRPr="004C01C0">
        <w:rPr>
          <w:sz w:val="20"/>
          <w:szCs w:val="20"/>
        </w:rPr>
        <w:t xml:space="preserve"> (</w:t>
      </w:r>
      <w:proofErr w:type="spellStart"/>
      <w:r w:rsidRPr="004C01C0">
        <w:rPr>
          <w:i/>
          <w:sz w:val="20"/>
          <w:szCs w:val="20"/>
        </w:rPr>
        <w:t>pukhanitaljumin</w:t>
      </w:r>
      <w:proofErr w:type="spellEnd"/>
      <w:r w:rsidRPr="004C01C0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4C01C0">
        <w:rPr>
          <w:sz w:val="20"/>
          <w:szCs w:val="20"/>
        </w:rPr>
        <w:t xml:space="preserve">needs to be changed because it is too political in nature.  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even Denney">
    <w15:presenceInfo w15:providerId="None" w15:userId="Steven Denn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177"/>
    <w:rsid w:val="003D00C7"/>
    <w:rsid w:val="00613877"/>
    <w:rsid w:val="00932177"/>
    <w:rsid w:val="0096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50A1"/>
  <w15:chartTrackingRefBased/>
  <w15:docId w15:val="{1F595569-0B8C-4C52-8587-86764AE0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932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2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2177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1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177"/>
    <w:rPr>
      <w:rFonts w:ascii="Segoe UI" w:eastAsia="Times New Roman" w:hAnsi="Segoe UI" w:cs="Segoe UI"/>
      <w:sz w:val="18"/>
      <w:szCs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Denney</dc:creator>
  <cp:keywords/>
  <dc:description/>
  <cp:lastModifiedBy>Steven Denney</cp:lastModifiedBy>
  <cp:revision>1</cp:revision>
  <dcterms:created xsi:type="dcterms:W3CDTF">2019-08-20T15:40:00Z</dcterms:created>
  <dcterms:modified xsi:type="dcterms:W3CDTF">2019-08-20T15:54:00Z</dcterms:modified>
</cp:coreProperties>
</file>